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contextualSpacing/>
        <w:jc w:val="center"/>
        <w:rPr>
          <w:rFonts w:cs="Times New Roman"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Уведомление</w:t>
      </w:r>
      <w:r>
        <w:rPr>
          <w:rFonts w:cs="Times New Roman"/>
          <w:szCs w:val="28"/>
          <w:lang w:val="ru-RU"/>
        </w:rPr>
        <w:t xml:space="preserve"> </w:t>
      </w:r>
    </w:p>
    <w:p>
      <w:pPr>
        <w:pStyle w:val="Normal"/>
        <w:bidi w:val="0"/>
        <w:spacing w:before="0" w:after="0"/>
        <w:contextualSpacing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о проведении общественных обсуждений </w:t>
      </w:r>
    </w:p>
    <w:p>
      <w:pPr>
        <w:pStyle w:val="Normal"/>
        <w:bidi w:val="0"/>
        <w:spacing w:before="0" w:after="0"/>
        <w:contextualSpacing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материалов обоснования лицензии  (включая материалы оценки воздействия на окружающую среду) на осуществление деятельности в области использования атомной энергии «Создание на ФГУП «ГХК» хранилища РАО второго класса (г.Железногорск, Красноярский край)»</w:t>
      </w:r>
    </w:p>
    <w:p>
      <w:pPr>
        <w:pStyle w:val="Style74"/>
        <w:bidi w:val="0"/>
        <w:rPr/>
      </w:pPr>
      <w:r>
        <w:rPr/>
      </w:r>
    </w:p>
    <w:p>
      <w:pPr>
        <w:pStyle w:val="Normal"/>
        <w:bidi w:val="0"/>
        <w:spacing w:before="0" w:after="0"/>
        <w:ind w:firstLine="709"/>
        <w:contextualSpacing/>
        <w:jc w:val="both"/>
        <w:rPr>
          <w:shd w:fill="auto" w:val="clear"/>
        </w:rPr>
      </w:pPr>
      <w:r>
        <w:rPr>
          <w:rFonts w:eastAsia="" w:cs="" w:cstheme="minorBidi" w:eastAsiaTheme="minorHAnsi"/>
          <w:b/>
          <w:bCs/>
          <w:shd w:fill="auto" w:val="clear"/>
          <w:lang w:val="ru-RU"/>
        </w:rPr>
        <w:t xml:space="preserve">Заказчик работ по оценке </w:t>
      </w:r>
      <w:r>
        <w:rPr>
          <w:rFonts w:cs="Times New Roman"/>
          <w:b/>
          <w:bCs/>
          <w:szCs w:val="28"/>
          <w:shd w:fill="auto" w:val="clear"/>
          <w:lang w:val="ru-RU"/>
        </w:rPr>
        <w:t>материалов обоснования лицензии (включая материалы оценки воздействия на окружающую среду)</w:t>
      </w:r>
      <w:r>
        <w:rPr>
          <w:rFonts w:eastAsia="" w:cs="" w:cstheme="minorBidi" w:eastAsiaTheme="minorHAnsi"/>
          <w:b/>
          <w:bCs/>
          <w:shd w:fill="auto" w:val="clear"/>
          <w:lang w:val="ru-RU"/>
        </w:rPr>
        <w:t>:</w:t>
      </w:r>
    </w:p>
    <w:p>
      <w:pPr>
        <w:pStyle w:val="Style74"/>
        <w:bidi w:val="0"/>
        <w:rPr/>
      </w:pPr>
      <w:r>
        <w:rPr/>
        <w:t>Федеральное государственное унитарное предприятие «Горно-химический комбинат» (ФГУП «ГХК)»</w:t>
      </w:r>
    </w:p>
    <w:p>
      <w:pPr>
        <w:pStyle w:val="Style74"/>
        <w:bidi w:val="0"/>
        <w:rPr/>
      </w:pPr>
      <w:r>
        <w:rPr/>
        <w:t>ОГРН 1022401404871</w:t>
      </w:r>
    </w:p>
    <w:p>
      <w:pPr>
        <w:pStyle w:val="Style74"/>
        <w:bidi w:val="0"/>
        <w:rPr/>
      </w:pPr>
      <w:r>
        <w:rPr/>
        <w:t>ИНН 2452000401</w:t>
      </w:r>
    </w:p>
    <w:p>
      <w:pPr>
        <w:pStyle w:val="Style74"/>
        <w:bidi w:val="0"/>
        <w:rPr/>
      </w:pPr>
      <w:r>
        <w:rPr/>
        <w:t xml:space="preserve">Юридический адрес: 662972, Красноярский край, ЗАТО Железногорск,                    г. Железногорск, ул. Ленина, дом 53. </w:t>
      </w:r>
    </w:p>
    <w:p>
      <w:pPr>
        <w:pStyle w:val="Style74"/>
        <w:bidi w:val="0"/>
        <w:rPr/>
      </w:pPr>
      <w:r>
        <w:rPr/>
        <w:t xml:space="preserve">Фактический адрес: 662972, Красноярский край, ЗАТО Железногорск,                    г. Железногорск, ул. Ленина, дом 53. </w:t>
      </w:r>
    </w:p>
    <w:p>
      <w:pPr>
        <w:pStyle w:val="Style74"/>
        <w:bidi w:val="0"/>
        <w:rPr/>
      </w:pPr>
      <w:r>
        <w:rPr/>
        <w:t xml:space="preserve">Контактная информация: тел. 8 (3919) 75-20-13, факс 8 (391) 266-23-34,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2">
        <w:r>
          <w:rPr>
            <w:lang w:val="en-US"/>
          </w:rPr>
          <w:t>sibghk</w:t>
        </w:r>
        <w:r>
          <w:rPr/>
          <w:t>@</w:t>
        </w:r>
        <w:r>
          <w:rPr>
            <w:lang w:val="en-US"/>
          </w:rPr>
          <w:t>rosatom</w:t>
        </w:r>
        <w:r>
          <w:rPr/>
          <w:t>.ru</w:t>
        </w:r>
      </w:hyperlink>
      <w:r>
        <w:rPr/>
        <w:t xml:space="preserve">. </w:t>
      </w:r>
    </w:p>
    <w:p>
      <w:pPr>
        <w:pStyle w:val="Style74"/>
        <w:bidi w:val="0"/>
        <w:rPr/>
      </w:pPr>
      <w:r>
        <w:rPr>
          <w:b/>
          <w:bCs/>
        </w:rPr>
        <w:t xml:space="preserve">Исполнитель работ по оценке </w:t>
      </w:r>
      <w:r>
        <w:rPr>
          <w:rFonts w:eastAsia="" w:cs="" w:cstheme="minorBidi" w:eastAsiaTheme="minorHAnsi"/>
          <w:b/>
          <w:bCs/>
          <w:shd w:fill="auto" w:val="clear"/>
          <w:lang w:val="ru-RU"/>
        </w:rPr>
        <w:t xml:space="preserve">оценке </w:t>
      </w:r>
      <w:r>
        <w:rPr>
          <w:rFonts w:cs="Times New Roman"/>
          <w:b/>
          <w:bCs/>
          <w:szCs w:val="28"/>
          <w:shd w:fill="auto" w:val="clear"/>
          <w:lang w:val="ru-RU"/>
        </w:rPr>
        <w:t>материалов обоснования лицензии (включая материалы оценки воздействия на окружающую среду)</w:t>
      </w:r>
      <w:r>
        <w:rPr>
          <w:rFonts w:eastAsia="" w:cs="" w:cstheme="minorBidi" w:eastAsiaTheme="minorHAnsi"/>
          <w:b/>
          <w:bCs/>
          <w:shd w:fill="auto" w:val="clear"/>
          <w:lang w:val="ru-RU"/>
        </w:rPr>
        <w:t>:</w:t>
      </w:r>
    </w:p>
    <w:p>
      <w:pPr>
        <w:pStyle w:val="Style74"/>
        <w:bidi w:val="0"/>
        <w:rPr>
          <w:b w:val="false"/>
          <w:bCs w:val="false"/>
        </w:rPr>
      </w:pPr>
      <w:r>
        <w:rPr>
          <w:rFonts w:eastAsia="" w:cs="" w:cstheme="minorBidi" w:eastAsiaTheme="minorHAnsi"/>
          <w:b w:val="false"/>
          <w:bCs w:val="false"/>
          <w:shd w:fill="auto" w:val="clear"/>
          <w:lang w:val="ru-RU"/>
        </w:rPr>
        <w:t>Акционерное общество «Федеральный центр науки и высоких технологий «Специальное научно-производственное объединение «Элерон» (АО «ФЦНИВТ «СНПО «Элерон»)</w:t>
      </w:r>
    </w:p>
    <w:p>
      <w:pPr>
        <w:pStyle w:val="Style74"/>
        <w:bidi w:val="0"/>
        <w:rPr>
          <w:b w:val="false"/>
          <w:bCs w:val="false"/>
        </w:rPr>
      </w:pPr>
      <w:r>
        <w:rPr>
          <w:rFonts w:eastAsia="" w:cs="" w:cstheme="minorBidi" w:eastAsiaTheme="minorHAnsi"/>
          <w:b w:val="false"/>
          <w:bCs w:val="false"/>
          <w:shd w:fill="auto" w:val="clear"/>
          <w:lang w:val="ru-RU"/>
        </w:rPr>
        <w:t>ОГРН 1157746325043</w:t>
      </w:r>
    </w:p>
    <w:p>
      <w:pPr>
        <w:pStyle w:val="Style74"/>
        <w:bidi w:val="0"/>
        <w:rPr>
          <w:b w:val="false"/>
          <w:bCs w:val="false"/>
        </w:rPr>
      </w:pPr>
      <w:r>
        <w:rPr>
          <w:rFonts w:eastAsia="" w:cs="" w:cstheme="minorBidi" w:eastAsiaTheme="minorHAnsi"/>
          <w:b w:val="false"/>
          <w:bCs w:val="false"/>
          <w:shd w:fill="auto" w:val="clear"/>
          <w:lang w:val="ru-RU"/>
        </w:rPr>
        <w:t>ИНН 7724313681</w:t>
      </w:r>
    </w:p>
    <w:p>
      <w:pPr>
        <w:pStyle w:val="Style74"/>
        <w:bidi w:val="0"/>
        <w:rPr>
          <w:b w:val="false"/>
          <w:bCs w:val="false"/>
        </w:rPr>
      </w:pPr>
      <w:r>
        <w:rPr>
          <w:rFonts w:eastAsia="" w:cs="" w:cstheme="minorBidi" w:eastAsiaTheme="minorHAnsi"/>
          <w:b w:val="false"/>
          <w:bCs w:val="false"/>
          <w:shd w:fill="auto" w:val="clear"/>
          <w:lang w:val="ru-RU"/>
        </w:rPr>
        <w:t>Юридический адрес: 115563, г. Москва, ул. Генерала Белова, д. 14</w:t>
      </w:r>
    </w:p>
    <w:p>
      <w:pPr>
        <w:pStyle w:val="Style74"/>
        <w:bidi w:val="0"/>
        <w:rPr>
          <w:b w:val="false"/>
          <w:bCs w:val="false"/>
        </w:rPr>
      </w:pPr>
      <w:r>
        <w:rPr>
          <w:rFonts w:eastAsia="" w:cs="" w:cstheme="minorBidi" w:eastAsiaTheme="minorHAnsi"/>
          <w:b w:val="false"/>
          <w:bCs w:val="false"/>
          <w:shd w:fill="auto" w:val="clear"/>
          <w:lang w:val="ru-RU"/>
        </w:rPr>
        <w:t>Фактический адрес: 115563, г. Москва, ул. Генерала Белова, д. 14</w:t>
      </w:r>
    </w:p>
    <w:p>
      <w:pPr>
        <w:pStyle w:val="Style74"/>
        <w:bidi w:val="0"/>
        <w:rPr>
          <w:rFonts w:eastAsia="" w:cs="" w:cstheme="minorBidi" w:eastAsiaTheme="minorHAnsi"/>
          <w:b w:val="false"/>
          <w:bCs w:val="false"/>
          <w:shd w:fill="auto" w:val="clear"/>
        </w:rPr>
      </w:pPr>
      <w:r>
        <w:rPr>
          <w:rFonts w:eastAsia="" w:cs="" w:cstheme="minorBidi" w:eastAsiaTheme="minorHAnsi"/>
          <w:b w:val="false"/>
          <w:bCs w:val="false"/>
          <w:shd w:fill="auto" w:val="clear"/>
          <w:lang w:val="ru-RU"/>
        </w:rPr>
        <w:t xml:space="preserve">Контактная информация: тел. (495) 393-90-72, факс (495) 393-91-63, e-mail: info@eleron.ru. </w:t>
      </w:r>
    </w:p>
    <w:p>
      <w:pPr>
        <w:pStyle w:val="Style74"/>
        <w:bidi w:val="0"/>
        <w:rPr>
          <w:b/>
        </w:rPr>
      </w:pPr>
      <w:r>
        <w:rPr>
          <w:b/>
        </w:rPr>
        <w:t>Орган местного самоуправления, ответственный за организацию общественных обсуждений:</w:t>
      </w:r>
    </w:p>
    <w:p>
      <w:pPr>
        <w:pStyle w:val="Style74"/>
        <w:bidi w:val="0"/>
        <w:rPr/>
      </w:pPr>
      <w:r>
        <w:rPr/>
        <w:t xml:space="preserve">Администрация ЗАТО г. Железногорск </w:t>
      </w:r>
    </w:p>
    <w:p>
      <w:pPr>
        <w:pStyle w:val="Style74"/>
        <w:bidi w:val="0"/>
        <w:rPr/>
      </w:pPr>
      <w:r>
        <w:rPr/>
        <w:t>Юридический адрес: 662971, Красноярский край, ЗАТО Железногорск,                    г. Железногорск, ул. 22 Партсъезда, дом 21.</w:t>
      </w:r>
    </w:p>
    <w:p>
      <w:pPr>
        <w:pStyle w:val="Style74"/>
        <w:bidi w:val="0"/>
        <w:rPr/>
      </w:pPr>
      <w:r>
        <w:rPr/>
        <w:t>Фактический адрес: 662971, Красноярский край, ЗАТО Железногорск,                    г. Железногорск, ул. 22 Партсъезда, дом 21.</w:t>
      </w:r>
    </w:p>
    <w:p>
      <w:pPr>
        <w:pStyle w:val="Style74"/>
        <w:bidi w:val="0"/>
        <w:rPr/>
      </w:pPr>
      <w:r>
        <w:rPr>
          <w:shd w:fill="auto" w:val="clear"/>
        </w:rPr>
        <w:t xml:space="preserve">Контактная информация: тел. 8 (3919) 76-56-80, </w:t>
      </w:r>
      <w:r>
        <w:rPr>
          <w:shd w:fill="auto" w:val="clear"/>
          <w:lang w:val="en-US"/>
        </w:rPr>
        <w:t>e</w:t>
      </w:r>
      <w:r>
        <w:rPr>
          <w:shd w:fill="auto" w:val="clear"/>
        </w:rPr>
        <w:t>-</w:t>
      </w:r>
      <w:r>
        <w:rPr>
          <w:shd w:fill="auto" w:val="clear"/>
          <w:lang w:val="en-US"/>
        </w:rPr>
        <w:t>mail</w:t>
      </w:r>
      <w:r>
        <w:rPr>
          <w:shd w:fill="auto" w:val="clear"/>
        </w:rPr>
        <w:t xml:space="preserve">: </w:t>
      </w:r>
      <w:hyperlink r:id="rId3">
        <w:r>
          <w:rPr>
            <w:shd w:fill="auto" w:val="clear"/>
            <w:lang w:val="en-US"/>
          </w:rPr>
          <w:t>kancel</w:t>
        </w:r>
        <w:r>
          <w:rPr>
            <w:shd w:fill="auto" w:val="clear"/>
          </w:rPr>
          <w:t>@</w:t>
        </w:r>
        <w:r>
          <w:rPr>
            <w:shd w:fill="auto" w:val="clear"/>
            <w:lang w:val="en-US"/>
          </w:rPr>
          <w:t>adm</w:t>
        </w:r>
        <w:r>
          <w:rPr>
            <w:shd w:fill="auto" w:val="clear"/>
          </w:rPr>
          <w:t>.</w:t>
        </w:r>
        <w:r>
          <w:rPr>
            <w:shd w:fill="auto" w:val="clear"/>
            <w:lang w:val="en-US"/>
          </w:rPr>
          <w:t>k</w:t>
        </w:r>
        <w:r>
          <w:rPr>
            <w:shd w:fill="auto" w:val="clear"/>
          </w:rPr>
          <w:t>26.</w:t>
        </w:r>
        <w:r>
          <w:rPr>
            <w:shd w:fill="auto" w:val="clear"/>
            <w:lang w:val="en-US"/>
          </w:rPr>
          <w:t>ru</w:t>
        </w:r>
      </w:hyperlink>
      <w:r>
        <w:rPr>
          <w:shd w:fill="auto" w:val="clear"/>
          <w:lang w:val="en-US"/>
        </w:rPr>
        <w:t xml:space="preserve">, факс 8 (3919) 74-60-32. </w:t>
      </w:r>
    </w:p>
    <w:p>
      <w:pPr>
        <w:pStyle w:val="Style74"/>
        <w:bidi w:val="0"/>
        <w:rPr>
          <w:shd w:fill="auto" w:val="clear"/>
        </w:rPr>
      </w:pPr>
      <w:r>
        <w:rPr>
          <w:b/>
          <w:shd w:fill="auto" w:val="clear"/>
        </w:rPr>
        <w:t>Наименование планируемой (намечаемой) хозяйственной и иной деятельности:</w:t>
      </w:r>
      <w:r>
        <w:rPr>
          <w:shd w:fill="auto" w:val="clear"/>
        </w:rPr>
        <w:t xml:space="preserve"> </w:t>
      </w:r>
      <w:r>
        <w:rPr>
          <w:szCs w:val="28"/>
          <w:shd w:fill="auto" w:val="clear"/>
        </w:rPr>
        <w:t>«</w:t>
      </w:r>
      <w:r>
        <w:rPr>
          <w:rFonts w:cs="Times New Roman"/>
          <w:sz w:val="28"/>
          <w:szCs w:val="28"/>
          <w:shd w:fill="auto" w:val="clear"/>
          <w:lang w:val="ru-RU"/>
        </w:rPr>
        <w:t>Создание на ФГУП «ГХК» хранилища РАО второго класса (г.Железногорск, Красноярский край)</w:t>
      </w:r>
      <w:r>
        <w:rPr>
          <w:szCs w:val="28"/>
          <w:shd w:fill="auto" w:val="clear"/>
        </w:rPr>
        <w:t>».</w:t>
      </w:r>
    </w:p>
    <w:p>
      <w:pPr>
        <w:pStyle w:val="Style74"/>
        <w:bidi w:val="0"/>
        <w:rPr/>
      </w:pPr>
      <w:r>
        <w:rPr>
          <w:b/>
        </w:rPr>
        <w:t xml:space="preserve">Цель планируемой (намечаемой) хозяйственной и иной деятельности: </w:t>
      </w:r>
      <w:r>
        <w:rPr>
          <w:b w:val="false"/>
          <w:bCs w:val="false"/>
          <w:sz w:val="28"/>
          <w:shd w:fill="auto" w:val="clear"/>
          <w:lang w:val="ru-RU"/>
        </w:rPr>
        <w:t>о</w:t>
      </w:r>
      <w:r>
        <w:rPr>
          <w:rFonts w:eastAsia="" w:cs="" w:cstheme="minorBidi" w:eastAsiaTheme="minorHAnsi"/>
          <w:b w:val="false"/>
          <w:bCs w:val="false"/>
          <w:sz w:val="28"/>
          <w:shd w:fill="auto" w:val="clear"/>
          <w:lang w:val="ru-RU"/>
        </w:rPr>
        <w:t>беспечение хранения РАО второго класса на площадке ФГУП «ГХК» в объемах, обеспечивающих потребности предприятия до момента готовности ФГУП «НО РАО» принимать эти отходы для окончательного захоронения</w:t>
      </w:r>
      <w:r>
        <w:rPr>
          <w:rFonts w:eastAsia="" w:cs="" w:cstheme="minorBidi" w:eastAsiaTheme="minorHAnsi"/>
          <w:shd w:fill="auto" w:val="clear"/>
        </w:rPr>
        <w:t>.</w:t>
      </w:r>
    </w:p>
    <w:p>
      <w:pPr>
        <w:pStyle w:val="Style74"/>
        <w:bidi w:val="0"/>
        <w:rPr/>
      </w:pPr>
      <w:r>
        <w:rPr>
          <w:b/>
        </w:rPr>
        <w:t>Предварительное место реализации планируемой (намечаемой) хозяйственной и иной деятельности:</w:t>
      </w:r>
      <w:r>
        <w:rPr/>
        <w:t xml:space="preserve"> </w:t>
      </w:r>
      <w:r>
        <w:rPr>
          <w:shd w:fill="auto" w:val="clear"/>
        </w:rPr>
        <w:t xml:space="preserve">хранилище РАО второго класса расположено на территории промышленной зоны — ЗАТО г. Железногорск Красноярского края РФ на </w:t>
      </w:r>
      <w:r>
        <w:rPr>
          <w:rFonts w:eastAsia="" w:cs="" w:cstheme="minorBidi" w:eastAsiaTheme="minorHAnsi"/>
          <w:shd w:fill="auto" w:val="clear"/>
        </w:rPr>
        <w:t>ФГУП «ГХК», расположенного на правом берегу реки Енисей в скальном массиве Атамановского хребта, в 50 - 55 км от краевого центра г. Красноярска вниз по течению р. Енисей.</w:t>
      </w:r>
    </w:p>
    <w:p>
      <w:pPr>
        <w:pStyle w:val="Style74"/>
        <w:bidi w:val="0"/>
        <w:rPr>
          <w:shd w:fill="auto" w:val="clear"/>
        </w:rPr>
      </w:pPr>
      <w:r>
        <w:rPr>
          <w:b/>
        </w:rPr>
        <w:t>Планируемые сроки проведения оценки воздействия на окружающую среду:</w:t>
      </w:r>
      <w:r>
        <w:rPr>
          <w:shd w:fill="auto" w:val="clear"/>
        </w:rPr>
        <w:t xml:space="preserve"> с 20.10.2022 по 31.05. 2024 г.</w:t>
      </w:r>
    </w:p>
    <w:p>
      <w:pPr>
        <w:pStyle w:val="Style74"/>
        <w:bidi w:val="0"/>
        <w:ind w:hanging="0"/>
        <w:rPr>
          <w:shd w:fill="auto" w:val="clear"/>
        </w:rPr>
      </w:pPr>
      <w:r>
        <w:rPr>
          <w:i/>
          <w:sz w:val="22"/>
          <w:shd w:fill="auto" w:val="clear"/>
        </w:rPr>
        <w:t xml:space="preserve">           </w:t>
      </w:r>
    </w:p>
    <w:p>
      <w:pPr>
        <w:pStyle w:val="Style74"/>
        <w:bidi w:val="0"/>
        <w:rPr>
          <w:shd w:fill="auto" w:val="clear"/>
        </w:rPr>
      </w:pPr>
      <w:r>
        <w:rPr>
          <w:b/>
          <w:shd w:fill="auto" w:val="clear"/>
        </w:rPr>
        <w:t xml:space="preserve">Сроки и место доступности объекта общественных обсуждений: </w:t>
      </w:r>
      <w:r>
        <w:rPr>
          <w:shd w:fill="auto" w:val="clear"/>
        </w:rPr>
        <w:t xml:space="preserve">в период </w:t>
      </w:r>
      <w:r>
        <w:rPr>
          <w:rFonts w:eastAsia="" w:cs="" w:cstheme="minorBidi" w:eastAsiaTheme="minorHAnsi"/>
          <w:shd w:fill="auto" w:val="clear"/>
        </w:rPr>
        <w:t>с 17</w:t>
      </w:r>
      <w:r>
        <w:rPr>
          <w:rFonts w:eastAsia="" w:cs="" w:cstheme="minorBidi" w:eastAsiaTheme="minorHAnsi"/>
          <w:sz w:val="28"/>
          <w:shd w:fill="auto" w:val="clear"/>
          <w:lang w:val="ru-RU"/>
        </w:rPr>
        <w:t>.07.2024</w:t>
      </w:r>
      <w:r>
        <w:rPr>
          <w:rFonts w:eastAsia="" w:cs="" w:cstheme="minorBidi" w:eastAsiaTheme="minorHAnsi"/>
          <w:shd w:fill="auto" w:val="clear"/>
        </w:rPr>
        <w:t xml:space="preserve"> по 19</w:t>
      </w:r>
      <w:r>
        <w:rPr>
          <w:rFonts w:eastAsia="" w:cs="" w:cstheme="minorBidi" w:eastAsiaTheme="minorHAnsi"/>
          <w:sz w:val="28"/>
          <w:shd w:fill="auto" w:val="clear"/>
          <w:lang w:val="ru-RU"/>
        </w:rPr>
        <w:t>.08.2024</w:t>
      </w:r>
      <w:r>
        <w:rPr>
          <w:shd w:fill="auto" w:val="clear"/>
        </w:rPr>
        <w:t xml:space="preserve"> материалы обоснования лицензии (включая</w:t>
      </w:r>
    </w:p>
    <w:p>
      <w:pPr>
        <w:pStyle w:val="Style74"/>
        <w:bidi w:val="0"/>
        <w:ind w:hanging="0"/>
        <w:rPr/>
      </w:pPr>
      <w:r>
        <w:rPr>
          <w:shd w:fill="auto" w:val="clear"/>
        </w:rPr>
        <w:t>материалы оценки воздействия на</w:t>
      </w:r>
      <w:r>
        <w:rPr/>
        <w:t xml:space="preserve"> окружающую среду) будут доступны:</w:t>
      </w:r>
    </w:p>
    <w:p>
      <w:pPr>
        <w:pStyle w:val="Style74"/>
        <w:bidi w:val="0"/>
        <w:rPr/>
      </w:pPr>
      <w:r>
        <w:rPr/>
        <w:t xml:space="preserve">- на официальном сайте ФГУП «ГХК» по адресу: </w:t>
      </w:r>
      <w:hyperlink r:id="rId4">
        <w:r>
          <w:rPr>
            <w:lang w:val="en-US"/>
          </w:rPr>
          <w:t>www</w:t>
        </w:r>
        <w:r>
          <w:rPr/>
          <w:t>.sibghk.ru/public-hearing/</w:t>
        </w:r>
      </w:hyperlink>
      <w:r>
        <w:rPr/>
        <w:t>;</w:t>
      </w:r>
    </w:p>
    <w:p>
      <w:pPr>
        <w:pStyle w:val="Normal"/>
        <w:bidi w:val="0"/>
        <w:ind w:firstLine="709"/>
        <w:jc w:val="both"/>
        <w:rPr>
          <w:sz w:val="22"/>
          <w:lang w:val="ru-RU"/>
        </w:rPr>
      </w:pPr>
      <w:r>
        <w:rPr>
          <w:lang w:val="ru-RU"/>
        </w:rPr>
        <w:t xml:space="preserve">- на </w:t>
      </w:r>
      <w:r>
        <w:rPr>
          <w:szCs w:val="28"/>
          <w:lang w:val="ru-RU" w:eastAsia="ru-RU"/>
        </w:rPr>
        <w:t xml:space="preserve">официальном сайте </w:t>
      </w:r>
      <w:r>
        <w:rPr>
          <w:sz w:val="28"/>
          <w:szCs w:val="28"/>
          <w:lang w:val="ru-RU" w:eastAsia="ru-RU"/>
        </w:rPr>
        <w:t>Администрации ЗАТО г.</w:t>
      </w:r>
      <w:r>
        <w:rPr>
          <w:szCs w:val="28"/>
          <w:lang w:val="ru-RU"/>
        </w:rPr>
        <w:t>Железногорск Красноярского края в информационно-телекоммуникационной сети «Интернет» по адресу</w:t>
      </w:r>
      <w:r>
        <w:rPr>
          <w:lang w:val="ru-RU"/>
        </w:rPr>
        <w:t xml:space="preserve">: </w:t>
      </w:r>
      <w:hyperlink r:id="rId5">
        <w:r>
          <w:rPr/>
          <w:t>www</w:t>
        </w:r>
        <w:r>
          <w:rPr>
            <w:lang w:val="ru-RU"/>
          </w:rPr>
          <w:t>.</w:t>
        </w:r>
        <w:r>
          <w:rPr/>
          <w:t>admk</w:t>
        </w:r>
        <w:r>
          <w:rPr>
            <w:lang w:val="ru-RU"/>
          </w:rPr>
          <w:t>26.</w:t>
        </w:r>
        <w:r>
          <w:rPr/>
          <w:t>ru</w:t>
        </w:r>
        <w:r>
          <w:rPr>
            <w:lang w:val="ru-RU"/>
          </w:rPr>
          <w:t>/</w:t>
        </w:r>
        <w:r>
          <w:rPr/>
          <w:t>administratsiya</w:t>
        </w:r>
        <w:r>
          <w:rPr>
            <w:lang w:val="ru-RU"/>
          </w:rPr>
          <w:t>/</w:t>
        </w:r>
        <w:r>
          <w:rPr/>
          <w:t>informatsiya</w:t>
        </w:r>
        <w:r>
          <w:rPr>
            <w:lang w:val="ru-RU"/>
          </w:rPr>
          <w:t>/2024/</w:t>
        </w:r>
      </w:hyperlink>
      <w:r>
        <w:rPr>
          <w:lang w:val="ru-RU"/>
        </w:rPr>
        <w:t>;</w:t>
      </w:r>
    </w:p>
    <w:p>
      <w:pPr>
        <w:pStyle w:val="Style74"/>
        <w:bidi w:val="0"/>
        <w:rPr/>
      </w:pPr>
      <w:r>
        <w:rPr/>
        <w:t>в письменной форме на бумажном носителе</w:t>
      </w:r>
    </w:p>
    <w:p>
      <w:pPr>
        <w:pStyle w:val="Style74"/>
        <w:bidi w:val="0"/>
        <w:rPr/>
      </w:pPr>
      <w:r>
        <w:rPr/>
        <w:t>- в Администрации ЗАТО г. Железногорск по адресу: Красноярский край, ЗАТО Железногорск, г. Железногорск, ул. 22 Партсъезда, дом 21, каб. 101-102 в рабочие дни с 10.00 до 17.00. Перерыв на обед с 12.00 до 14.00. Суббота и воскресенье нерабочие дни.</w:t>
      </w:r>
    </w:p>
    <w:p>
      <w:pPr>
        <w:pStyle w:val="Style74"/>
        <w:bidi w:val="0"/>
        <w:rPr>
          <w:b/>
        </w:rPr>
      </w:pPr>
      <w:r>
        <w:rPr>
          <w:b/>
        </w:rPr>
        <w:t xml:space="preserve">Предполагаемый срок и форма проведения общественных обсуждений: </w:t>
      </w:r>
    </w:p>
    <w:p>
      <w:pPr>
        <w:pStyle w:val="Style74"/>
        <w:bidi w:val="0"/>
        <w:ind w:hanging="0"/>
        <w:rPr>
          <w:shd w:fill="auto" w:val="clear"/>
        </w:rPr>
      </w:pPr>
      <w:r>
        <w:rPr>
          <w:i w:val="false"/>
          <w:iCs w:val="false"/>
          <w:sz w:val="28"/>
          <w:shd w:fill="auto" w:val="clear"/>
          <w:lang w:val="ru-RU"/>
        </w:rPr>
        <w:t xml:space="preserve">Общественные обсуждения проводятся  17.07.2024 по 19.08.2024 в форме опроса. </w:t>
      </w:r>
    </w:p>
    <w:p>
      <w:pPr>
        <w:pStyle w:val="Style74"/>
        <w:bidi w:val="0"/>
        <w:ind w:hanging="0"/>
        <w:rPr>
          <w:shd w:fill="auto" w:val="clear"/>
        </w:rPr>
      </w:pPr>
      <w:r>
        <w:rPr>
          <w:rFonts w:eastAsia="" w:cs="" w:cstheme="minorBidi" w:eastAsiaTheme="minorHAnsi"/>
          <w:i w:val="false"/>
          <w:iCs w:val="false"/>
          <w:sz w:val="28"/>
          <w:shd w:fill="auto" w:val="clear"/>
          <w:lang w:val="ru-RU"/>
        </w:rPr>
        <w:t xml:space="preserve">Форма предоставления замечаний и предложений общественности — журнал учета замечаний и предложений, опросный лист, путем внесения в журнал учета замечаний и предложений и опросный лист. </w:t>
      </w:r>
    </w:p>
    <w:p>
      <w:pPr>
        <w:pStyle w:val="Style74"/>
        <w:bidi w:val="0"/>
        <w:ind w:hanging="0"/>
        <w:rPr>
          <w:shd w:fill="auto" w:val="clear"/>
        </w:rPr>
      </w:pPr>
      <w:r>
        <w:rPr>
          <w:i w:val="false"/>
          <w:iCs w:val="false"/>
          <w:sz w:val="28"/>
          <w:shd w:fill="auto" w:val="clear"/>
          <w:lang w:val="ru-RU"/>
        </w:rPr>
        <w:tab/>
        <w:t>В период</w:t>
      </w:r>
      <w:r>
        <w:rPr>
          <w:rFonts w:eastAsia="" w:cs="" w:cstheme="minorBidi" w:eastAsiaTheme="minorHAnsi"/>
          <w:i w:val="false"/>
          <w:iCs w:val="false"/>
          <w:sz w:val="28"/>
          <w:shd w:fill="auto" w:val="clear"/>
          <w:lang w:val="ru-RU"/>
        </w:rPr>
        <w:t xml:space="preserve"> с 17.07.2024 по 19.08.2024 о</w:t>
      </w:r>
      <w:r>
        <w:rPr>
          <w:rFonts w:eastAsia="" w:cs="" w:cstheme="minorBidi" w:eastAsiaTheme="minorHAnsi"/>
          <w:i w:val="false"/>
          <w:iCs w:val="false"/>
          <w:shd w:fill="auto" w:val="clear"/>
        </w:rPr>
        <w:t xml:space="preserve">просные листы будут размещены в местах доступности объекта общественных обсуждений: </w:t>
      </w:r>
    </w:p>
    <w:p>
      <w:pPr>
        <w:pStyle w:val="Style74"/>
        <w:bidi w:val="0"/>
        <w:rPr/>
      </w:pPr>
      <w:r>
        <w:rPr/>
        <w:t xml:space="preserve">- на официальном сайте ФГУП «ГХК» по адресу: </w:t>
      </w:r>
      <w:hyperlink r:id="rId6">
        <w:r>
          <w:rPr>
            <w:lang w:val="en-US"/>
          </w:rPr>
          <w:t>www</w:t>
        </w:r>
        <w:r>
          <w:rPr/>
          <w:t>.sibghk.ru/public-hearing/</w:t>
        </w:r>
      </w:hyperlink>
      <w:r>
        <w:rPr/>
        <w:t>;</w:t>
      </w:r>
    </w:p>
    <w:p>
      <w:pPr>
        <w:pStyle w:val="Normal"/>
        <w:bidi w:val="0"/>
        <w:ind w:firstLine="709"/>
        <w:jc w:val="both"/>
        <w:rPr>
          <w:sz w:val="22"/>
          <w:lang w:val="ru-RU"/>
        </w:rPr>
      </w:pPr>
      <w:r>
        <w:rPr>
          <w:lang w:val="ru-RU"/>
        </w:rPr>
        <w:t xml:space="preserve">- на </w:t>
      </w:r>
      <w:r>
        <w:rPr>
          <w:szCs w:val="28"/>
          <w:lang w:val="ru-RU" w:eastAsia="ru-RU"/>
        </w:rPr>
        <w:t xml:space="preserve">официальном сайте </w:t>
      </w:r>
      <w:r>
        <w:rPr>
          <w:sz w:val="28"/>
          <w:szCs w:val="28"/>
          <w:lang w:val="ru-RU" w:eastAsia="ru-RU"/>
        </w:rPr>
        <w:t>Администрации ЗАТО г.</w:t>
      </w:r>
      <w:r>
        <w:rPr>
          <w:szCs w:val="28"/>
          <w:lang w:val="ru-RU"/>
        </w:rPr>
        <w:t>Железногорск Красноярского края в информационно-телекоммуникационной сети «Интернет» по адресу</w:t>
      </w:r>
      <w:r>
        <w:rPr>
          <w:lang w:val="ru-RU"/>
        </w:rPr>
        <w:t xml:space="preserve">: </w:t>
      </w:r>
      <w:hyperlink r:id="rId7">
        <w:r>
          <w:rPr/>
          <w:t>www</w:t>
        </w:r>
        <w:r>
          <w:rPr>
            <w:lang w:val="ru-RU"/>
          </w:rPr>
          <w:t>.</w:t>
        </w:r>
        <w:r>
          <w:rPr/>
          <w:t>admk</w:t>
        </w:r>
        <w:r>
          <w:rPr>
            <w:lang w:val="ru-RU"/>
          </w:rPr>
          <w:t>26.</w:t>
        </w:r>
        <w:r>
          <w:rPr/>
          <w:t>ru</w:t>
        </w:r>
        <w:r>
          <w:rPr>
            <w:lang w:val="ru-RU"/>
          </w:rPr>
          <w:t>/</w:t>
        </w:r>
        <w:r>
          <w:rPr/>
          <w:t>administratsiya</w:t>
        </w:r>
        <w:r>
          <w:rPr>
            <w:lang w:val="ru-RU"/>
          </w:rPr>
          <w:t>/</w:t>
        </w:r>
        <w:r>
          <w:rPr/>
          <w:t>informatsiya</w:t>
        </w:r>
        <w:r>
          <w:rPr>
            <w:lang w:val="ru-RU"/>
          </w:rPr>
          <w:t>/2024/</w:t>
        </w:r>
      </w:hyperlink>
      <w:r>
        <w:rPr>
          <w:lang w:val="ru-RU"/>
        </w:rPr>
        <w:t>;</w:t>
      </w:r>
    </w:p>
    <w:p>
      <w:pPr>
        <w:pStyle w:val="Style74"/>
        <w:bidi w:val="0"/>
        <w:rPr/>
      </w:pPr>
      <w:r>
        <w:rPr/>
        <w:t>в письменной форме на бумажном носителе:</w:t>
      </w:r>
    </w:p>
    <w:p>
      <w:pPr>
        <w:pStyle w:val="Style74"/>
        <w:bidi w:val="0"/>
        <w:rPr>
          <w:shd w:fill="auto" w:val="clear"/>
        </w:rPr>
      </w:pPr>
      <w:r>
        <w:rPr>
          <w:rFonts w:eastAsia="" w:cs=""/>
          <w:i w:val="false"/>
          <w:iCs w:val="false"/>
          <w:shd w:fill="auto" w:val="clear"/>
        </w:rPr>
        <w:t>- в Администрации ЗАТО г. Железногорск по адресу: Красноярский край, ЗАТО Железногорск, г. Железногорск, ул. 22 Партсъезда, дом 21, каб. 101-102 в рабочие дни с 10.00 до 17.00. Перерыв на обед с 12.00 до 14.00. Суббота и воскресенье нерабочие дни.</w:t>
      </w:r>
    </w:p>
    <w:p>
      <w:pPr>
        <w:pStyle w:val="Style74"/>
        <w:bidi w:val="0"/>
        <w:rPr>
          <w:shd w:fill="auto" w:val="clear"/>
        </w:rPr>
      </w:pPr>
      <w:r>
        <w:rPr>
          <w:rFonts w:eastAsia="" w:cs=""/>
          <w:i w:val="false"/>
          <w:iCs w:val="false"/>
          <w:shd w:fill="auto" w:val="clear"/>
        </w:rPr>
        <w:t xml:space="preserve">Место размещения (доступности) журнала учета замечаний общественности с 17.07.2024 по 19.08.2024: </w:t>
      </w:r>
      <w:r>
        <w:rPr>
          <w:rFonts w:eastAsia="" w:cs="" w:cstheme="minorBidi" w:eastAsiaTheme="minorHAnsi"/>
          <w:i w:val="false"/>
          <w:iCs w:val="false"/>
          <w:shd w:fill="auto" w:val="clear"/>
        </w:rPr>
        <w:t>Администрация ЗАТО г. Железногорск по адресу: Красноярский край, ЗАТО Железногорск, г. Железногорск, ул. 22 Партсъезда, дом 21, каб. 101-102 в рабочие дни с 10.00 до 17.00. Перерыв на обед с 12.00 до 14.00. Суббота и воскресенье нерабочие дни.</w:t>
      </w:r>
    </w:p>
    <w:p>
      <w:pPr>
        <w:pStyle w:val="Style74"/>
        <w:bidi w:val="0"/>
        <w:rPr>
          <w:shd w:fill="auto" w:val="clear"/>
        </w:rPr>
      </w:pPr>
      <w:r>
        <w:rPr>
          <w:shd w:fill="auto" w:val="clear"/>
        </w:rPr>
      </w:r>
    </w:p>
    <w:p>
      <w:pPr>
        <w:pStyle w:val="Style74"/>
        <w:bidi w:val="0"/>
        <w:rPr>
          <w:shd w:fill="auto" w:val="clear"/>
        </w:rPr>
      </w:pPr>
      <w:r>
        <w:rPr>
          <w:rFonts w:eastAsia="" w:cs="" w:cstheme="minorBidi" w:eastAsiaTheme="minorHAnsi"/>
          <w:b/>
          <w:bCs/>
          <w:i w:val="false"/>
          <w:iCs w:val="false"/>
          <w:shd w:fill="auto" w:val="clear"/>
        </w:rPr>
        <w:t>Место сбора заполненных опросных листов</w:t>
      </w:r>
      <w:r>
        <w:rPr>
          <w:rFonts w:eastAsia="" w:cs="" w:cstheme="minorBidi" w:eastAsiaTheme="minorHAnsi"/>
          <w:i w:val="false"/>
          <w:iCs w:val="false"/>
          <w:shd w:fill="auto" w:val="clear"/>
        </w:rPr>
        <w:t xml:space="preserve">: </w:t>
      </w:r>
    </w:p>
    <w:p>
      <w:pPr>
        <w:pStyle w:val="Style74"/>
        <w:bidi w:val="0"/>
        <w:rPr>
          <w:shd w:fill="auto" w:val="clear"/>
        </w:rPr>
      </w:pPr>
      <w:r>
        <w:rPr>
          <w:rFonts w:eastAsia="" w:cs="" w:cstheme="minorBidi" w:eastAsiaTheme="minorHAnsi"/>
          <w:i w:val="false"/>
          <w:iCs w:val="false"/>
          <w:shd w:fill="auto" w:val="clear"/>
        </w:rPr>
        <w:t>- в Администрации ЗАТО г. Железногорск по адресу: Красноярский край, ЗАТО Железногорск, г. Железногорск, ул. 22 Партсъезда, дом 21, каб. 101-102 в рабочие дни с 10.00 до 17.00. Перерыв на обед с 12.00 до 14.00. Суббота и воскресенье нерабочие дни.</w:t>
      </w:r>
    </w:p>
    <w:p>
      <w:pPr>
        <w:pStyle w:val="Style74"/>
        <w:bidi w:val="0"/>
        <w:rPr/>
      </w:pPr>
      <w:r>
        <w:rPr>
          <w:rFonts w:eastAsia="" w:cs="" w:cstheme="minorBidi" w:eastAsiaTheme="minorHAnsi"/>
          <w:i w:val="false"/>
          <w:iCs w:val="false"/>
          <w:shd w:fill="auto" w:val="clear"/>
        </w:rPr>
        <w:t xml:space="preserve">- по электронной почте по адресу: </w:t>
      </w:r>
      <w:hyperlink r:id="rId8">
        <w:r>
          <w:rPr>
            <w:rFonts w:eastAsia="" w:cs="" w:cstheme="minorBidi" w:eastAsiaTheme="minorHAnsi"/>
            <w:i w:val="false"/>
            <w:iCs w:val="false"/>
            <w:shd w:fill="auto" w:val="clear"/>
            <w:lang w:val="en-US"/>
          </w:rPr>
          <w:t>shahina</w:t>
        </w:r>
        <w:r>
          <w:rPr>
            <w:rFonts w:eastAsia="" w:cs="" w:cstheme="minorBidi" w:eastAsiaTheme="minorHAnsi"/>
            <w:i w:val="false"/>
            <w:iCs w:val="false"/>
            <w:shd w:fill="auto" w:val="clear"/>
          </w:rPr>
          <w:t>@</w:t>
        </w:r>
        <w:r>
          <w:rPr>
            <w:rFonts w:eastAsia="" w:cs="" w:cstheme="minorBidi" w:eastAsiaTheme="minorHAnsi"/>
            <w:i w:val="false"/>
            <w:iCs w:val="false"/>
            <w:shd w:fill="auto" w:val="clear"/>
            <w:lang w:val="en-US"/>
          </w:rPr>
          <w:t>adm</w:t>
        </w:r>
        <w:r>
          <w:rPr>
            <w:rFonts w:eastAsia="" w:cs="" w:cstheme="minorBidi" w:eastAsiaTheme="minorHAnsi"/>
            <w:i w:val="false"/>
            <w:iCs w:val="false"/>
            <w:shd w:fill="auto" w:val="clear"/>
          </w:rPr>
          <w:t>.</w:t>
        </w:r>
        <w:r>
          <w:rPr>
            <w:rFonts w:eastAsia="" w:cs="" w:cstheme="minorBidi" w:eastAsiaTheme="minorHAnsi"/>
            <w:i w:val="false"/>
            <w:iCs w:val="false"/>
            <w:shd w:fill="auto" w:val="clear"/>
            <w:lang w:val="en-US"/>
          </w:rPr>
          <w:t>k</w:t>
        </w:r>
        <w:r>
          <w:rPr>
            <w:rFonts w:eastAsia="" w:cs="" w:cstheme="minorBidi" w:eastAsiaTheme="minorHAnsi"/>
            <w:i w:val="false"/>
            <w:iCs w:val="false"/>
            <w:shd w:fill="auto" w:val="clear"/>
          </w:rPr>
          <w:t>26.</w:t>
        </w:r>
        <w:r>
          <w:rPr>
            <w:rFonts w:eastAsia="" w:cs="" w:cstheme="minorBidi" w:eastAsiaTheme="minorHAnsi"/>
            <w:i w:val="false"/>
            <w:iCs w:val="false"/>
            <w:shd w:fill="auto" w:val="clear"/>
            <w:lang w:val="en-US"/>
          </w:rPr>
          <w:t>ru</w:t>
        </w:r>
      </w:hyperlink>
      <w:r>
        <w:rPr>
          <w:rFonts w:eastAsia="" w:cs="" w:cstheme="minorBidi" w:eastAsiaTheme="minorHAnsi"/>
          <w:i w:val="false"/>
          <w:iCs w:val="false"/>
          <w:shd w:fill="auto" w:val="clear"/>
        </w:rPr>
        <w:t>.</w:t>
      </w:r>
    </w:p>
    <w:p>
      <w:pPr>
        <w:pStyle w:val="Normal"/>
        <w:bidi w:val="0"/>
        <w:ind w:firstLine="709"/>
        <w:jc w:val="both"/>
        <w:rPr/>
      </w:pPr>
      <w:r>
        <w:rPr>
          <w:rFonts w:eastAsia="" w:cs="" w:cstheme="minorBidi" w:eastAsiaTheme="minorHAnsi"/>
          <w:i w:val="false"/>
          <w:iCs w:val="false"/>
          <w:shd w:fill="auto" w:val="clear"/>
          <w:lang w:val="ru-RU"/>
        </w:rPr>
        <w:t xml:space="preserve">- на </w:t>
      </w:r>
      <w:r>
        <w:rPr>
          <w:rFonts w:eastAsia="" w:cs="" w:cstheme="minorBidi" w:eastAsiaTheme="minorHAnsi"/>
          <w:i w:val="false"/>
          <w:iCs w:val="false"/>
          <w:szCs w:val="28"/>
          <w:shd w:fill="auto" w:val="clear"/>
          <w:lang w:val="ru-RU" w:eastAsia="ru-RU"/>
        </w:rPr>
        <w:t xml:space="preserve">официальном сайте </w:t>
      </w:r>
      <w:r>
        <w:rPr>
          <w:rFonts w:eastAsia="" w:cs="" w:cstheme="minorBidi" w:eastAsiaTheme="minorHAnsi"/>
          <w:i w:val="false"/>
          <w:iCs w:val="false"/>
          <w:sz w:val="28"/>
          <w:szCs w:val="28"/>
          <w:shd w:fill="auto" w:val="clear"/>
          <w:lang w:val="ru-RU" w:eastAsia="ru-RU"/>
        </w:rPr>
        <w:t>Администрации ЗАТО г.</w:t>
      </w:r>
      <w:r>
        <w:rPr>
          <w:rFonts w:eastAsia="" w:cs="" w:cstheme="minorBidi" w:eastAsiaTheme="minorHAnsi"/>
          <w:i w:val="false"/>
          <w:iCs w:val="false"/>
          <w:szCs w:val="28"/>
          <w:shd w:fill="auto" w:val="clear"/>
          <w:lang w:val="ru-RU"/>
        </w:rPr>
        <w:t>Железногорск Красноярского края в информационно-телекоммуникационной сети «Интернет» по адресу</w:t>
      </w:r>
      <w:r>
        <w:rPr>
          <w:rFonts w:eastAsia="" w:cs="" w:cstheme="minorBidi" w:eastAsiaTheme="minorHAnsi"/>
          <w:i w:val="false"/>
          <w:iCs w:val="false"/>
          <w:shd w:fill="auto" w:val="clear"/>
          <w:lang w:val="ru-RU"/>
        </w:rPr>
        <w:t xml:space="preserve">: </w:t>
      </w:r>
      <w:hyperlink r:id="rId9">
        <w:r>
          <w:rPr>
            <w:rFonts w:eastAsia="" w:cs="" w:cstheme="minorBidi" w:eastAsiaTheme="minorHAnsi"/>
            <w:i w:val="false"/>
            <w:iCs w:val="false"/>
            <w:shd w:fill="auto" w:val="clear"/>
            <w:lang w:val="ru-RU"/>
          </w:rPr>
          <w:t>www.admk26.ru/administratsiya/informatsiya/2024/</w:t>
        </w:r>
      </w:hyperlink>
      <w:r>
        <w:rPr>
          <w:rFonts w:eastAsia="" w:cs="" w:cstheme="minorBidi" w:eastAsiaTheme="minorHAnsi"/>
          <w:i w:val="false"/>
          <w:iCs w:val="false"/>
          <w:shd w:fill="auto" w:val="clear"/>
          <w:lang w:val="ru-RU"/>
        </w:rPr>
        <w:t>.</w:t>
      </w:r>
    </w:p>
    <w:p>
      <w:pPr>
        <w:pStyle w:val="Style74"/>
        <w:bidi w:val="0"/>
        <w:rPr/>
      </w:pPr>
      <w:r>
        <w:rPr>
          <w:rFonts w:eastAsia="" w:cs="" w:cstheme="minorBidi" w:eastAsiaTheme="minorHAnsi"/>
          <w:b/>
          <w:shd w:fill="auto" w:val="clear"/>
        </w:rPr>
        <w:t>Контактные данные ответственных лиц со стороны заказчика:</w:t>
      </w:r>
      <w:r>
        <w:rPr>
          <w:rFonts w:eastAsia="" w:cs="" w:cstheme="minorBidi" w:eastAsiaTheme="minorHAnsi"/>
          <w:shd w:fill="auto" w:val="clear"/>
        </w:rPr>
        <w:t xml:space="preserve"> Янушкевич Яна Олеговна, тел. 8 (3919) 7</w:t>
      </w:r>
      <w:r>
        <w:rPr>
          <w:rFonts w:eastAsia="" w:cs="" w:cstheme="minorBidi" w:eastAsiaTheme="minorHAnsi"/>
          <w:sz w:val="28"/>
          <w:shd w:fill="auto" w:val="clear"/>
          <w:lang w:val="ru-RU"/>
        </w:rPr>
        <w:t>5</w:t>
      </w:r>
      <w:r>
        <w:rPr>
          <w:rFonts w:eastAsia="" w:cs="" w:cstheme="minorBidi" w:eastAsiaTheme="minorHAnsi"/>
          <w:shd w:fill="auto" w:val="clear"/>
        </w:rPr>
        <w:t>-</w:t>
      </w:r>
      <w:r>
        <w:rPr>
          <w:rFonts w:eastAsia="" w:cs="" w:cstheme="minorBidi" w:eastAsiaTheme="minorHAnsi"/>
          <w:sz w:val="28"/>
          <w:shd w:fill="auto" w:val="clear"/>
          <w:lang w:val="ru-RU"/>
        </w:rPr>
        <w:t>12</w:t>
      </w:r>
      <w:r>
        <w:rPr>
          <w:rFonts w:eastAsia="" w:cs="" w:cstheme="minorBidi" w:eastAsiaTheme="minorHAnsi"/>
          <w:shd w:fill="auto" w:val="clear"/>
        </w:rPr>
        <w:t>-</w:t>
      </w:r>
      <w:r>
        <w:rPr>
          <w:rFonts w:eastAsia="" w:cs="" w:cstheme="minorBidi" w:eastAsiaTheme="minorHAnsi"/>
          <w:sz w:val="28"/>
          <w:shd w:fill="auto" w:val="clear"/>
          <w:lang w:val="ru-RU"/>
        </w:rPr>
        <w:t>88</w:t>
      </w:r>
      <w:r>
        <w:rPr>
          <w:rFonts w:eastAsia="" w:cs="" w:cstheme="minorBidi" w:eastAsiaTheme="minorHAnsi"/>
          <w:shd w:fill="auto" w:val="clear"/>
        </w:rPr>
        <w:t xml:space="preserve">, </w:t>
      </w:r>
      <w:r>
        <w:rPr>
          <w:rFonts w:eastAsia="" w:cs="" w:cstheme="minorBidi" w:eastAsiaTheme="minorHAnsi"/>
          <w:shd w:fill="auto" w:val="clear"/>
          <w:lang w:val="en-US"/>
        </w:rPr>
        <w:t>e</w:t>
      </w:r>
      <w:r>
        <w:rPr>
          <w:rFonts w:eastAsia="" w:cs="" w:cstheme="minorBidi" w:eastAsiaTheme="minorHAnsi"/>
          <w:shd w:fill="auto" w:val="clear"/>
        </w:rPr>
        <w:t>-</w:t>
      </w:r>
      <w:r>
        <w:rPr>
          <w:rFonts w:eastAsia="" w:cs="" w:cstheme="minorBidi" w:eastAsiaTheme="minorHAnsi"/>
          <w:shd w:fill="auto" w:val="clear"/>
          <w:lang w:val="en-US"/>
        </w:rPr>
        <w:t>mail</w:t>
      </w:r>
      <w:r>
        <w:rPr>
          <w:rFonts w:eastAsia="" w:cs="" w:cstheme="minorBidi" w:eastAsiaTheme="minorHAnsi"/>
          <w:shd w:fill="auto" w:val="clear"/>
        </w:rPr>
        <w:t xml:space="preserve">: </w:t>
      </w:r>
      <w:hyperlink r:id="rId10">
        <w:r>
          <w:rPr>
            <w:rFonts w:eastAsia="" w:cs="" w:cstheme="minorBidi" w:eastAsiaTheme="minorHAnsi"/>
            <w:shd w:fill="auto" w:val="clear"/>
          </w:rPr>
          <w:t>YSrazzhivina@</w:t>
        </w:r>
        <w:r>
          <w:rPr>
            <w:rFonts w:eastAsia="" w:cs="" w:cstheme="minorBidi" w:eastAsiaTheme="minorHAnsi"/>
            <w:shd w:fill="auto" w:val="clear"/>
            <w:lang w:val="en-US"/>
          </w:rPr>
          <w:t>rosatom</w:t>
        </w:r>
        <w:r>
          <w:rPr>
            <w:rFonts w:eastAsia="" w:cs="" w:cstheme="minorBidi" w:eastAsiaTheme="minorHAnsi"/>
            <w:shd w:fill="auto" w:val="clear"/>
          </w:rPr>
          <w:t>.ru</w:t>
        </w:r>
      </w:hyperlink>
      <w:r>
        <w:rPr>
          <w:rFonts w:eastAsia="" w:cs="" w:cstheme="minorBidi" w:eastAsiaTheme="minorHAnsi"/>
          <w:shd w:fill="auto" w:val="clear"/>
        </w:rPr>
        <w:t>. Время приёма звонков: в рабочие дни с 10:00 до 13:00,</w:t>
      </w:r>
      <w:r>
        <w:rPr/>
        <w:t xml:space="preserve"> с 14:00 до 17:00. Суббота и воскресенье нерабочие дни.</w:t>
      </w:r>
    </w:p>
    <w:p>
      <w:pPr>
        <w:pStyle w:val="Style74"/>
        <w:bidi w:val="0"/>
        <w:rPr/>
      </w:pPr>
      <w:r>
        <w:rPr>
          <w:b/>
        </w:rPr>
        <w:t>Контактные данные ответственных лиц со стороны органа местного самоуправления:</w:t>
      </w:r>
      <w:r>
        <w:rPr/>
        <w:t xml:space="preserve"> Шахина Ирина Александровна, тел. 8 (3919) 76-55-62,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11">
        <w:r>
          <w:rPr>
            <w:lang w:val="en-US"/>
          </w:rPr>
          <w:t>shahina</w:t>
        </w:r>
        <w:r>
          <w:rPr/>
          <w:t>@</w:t>
        </w:r>
        <w:r>
          <w:rPr>
            <w:lang w:val="en-US"/>
          </w:rPr>
          <w:t>adm</w:t>
        </w:r>
        <w:r>
          <w:rPr/>
          <w:t>.</w:t>
        </w:r>
        <w:r>
          <w:rPr>
            <w:lang w:val="en-US"/>
          </w:rPr>
          <w:t>k</w:t>
        </w:r>
        <w:r>
          <w:rPr/>
          <w:t>26.</w:t>
        </w:r>
        <w:r>
          <w:rPr>
            <w:lang w:val="en-US"/>
          </w:rPr>
          <w:t>ru</w:t>
        </w:r>
      </w:hyperlink>
      <w:r>
        <w:rPr/>
        <w:t>. Время приёма звонков: в рабочие дни с 09:00 до 12:00, с 14:00 до 17:00. Суббота и воскресенье нерабочие дни.</w:t>
      </w:r>
    </w:p>
    <w:p>
      <w:pPr>
        <w:pStyle w:val="Style74"/>
        <w:bidi w:val="0"/>
        <w:rPr/>
      </w:pPr>
      <w:r>
        <w:rPr/>
      </w:r>
    </w:p>
    <w:p>
      <w:pPr>
        <w:pStyle w:val="Style74"/>
        <w:bidi w:val="0"/>
        <w:rPr>
          <w:rFonts w:cs="Times New Roman"/>
          <w:sz w:val="14"/>
          <w:szCs w:val="14"/>
          <w:shd w:fill="auto" w:val="clear"/>
          <w:lang w:val="ru-RU"/>
        </w:rPr>
      </w:pPr>
      <w:r>
        <w:rPr/>
      </w:r>
    </w:p>
    <w:sectPr>
      <w:headerReference w:type="default" r:id="rId12"/>
      <w:footerReference w:type="default" r:id="rId1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Выделение жирным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star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start="0" w:end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start="709" w:end="0" w:hanging="0"/>
      <w:jc w:val="both"/>
    </w:pPr>
    <w:rPr>
      <w:b/>
    </w:rPr>
  </w:style>
  <w:style w:type="paragraph" w:styleId="Style38">
    <w:name w:val="Body Text Indent"/>
    <w:basedOn w:val="Style31"/>
    <w:qFormat/>
    <w:pPr>
      <w:ind w:start="0" w:end="0" w:hanging="0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start="0" w:end="0" w:hanging="0"/>
    </w:pPr>
    <w:rPr/>
  </w:style>
  <w:style w:type="paragraph" w:styleId="Style40">
    <w:name w:val="Salutation"/>
    <w:basedOn w:val="Normal"/>
    <w:pPr/>
    <w:rPr/>
  </w:style>
  <w:style w:type="paragraph" w:styleId="Style41">
    <w:name w:val="Signature"/>
    <w:basedOn w:val="Normal"/>
    <w:pPr>
      <w:tabs>
        <w:tab w:val="clear" w:pos="709"/>
        <w:tab w:val="right" w:pos="31748" w:leader="none"/>
      </w:tabs>
      <w:ind w:start="0" w:end="0" w:hanging="0"/>
      <w:jc w:val="start"/>
    </w:pPr>
    <w:rPr/>
  </w:style>
  <w:style w:type="paragraph" w:styleId="Style42">
    <w:name w:val="Отступы"/>
    <w:basedOn w:val="Style31"/>
    <w:qFormat/>
    <w:pPr>
      <w:tabs>
        <w:tab w:val="clear" w:pos="709"/>
        <w:tab w:val="left" w:pos="0" w:leader="none"/>
      </w:tabs>
      <w:ind w:start="0" w:end="0" w:hanging="0"/>
    </w:pPr>
    <w:rPr/>
  </w:style>
  <w:style w:type="paragraph" w:styleId="AnnotationText">
    <w:name w:val="Annotation Text"/>
    <w:basedOn w:val="Style31"/>
    <w:qFormat/>
    <w:pPr>
      <w:ind w:start="0" w:end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ListBullet4"/>
    <w:qFormat/>
    <w:pPr>
      <w:spacing w:before="0" w:after="0"/>
      <w:ind w:start="0" w:end="0" w:hanging="0"/>
    </w:pPr>
    <w:rPr/>
  </w:style>
  <w:style w:type="paragraph" w:styleId="ListBullet4">
    <w:name w:val="List Bullet 4"/>
    <w:basedOn w:val="Style32"/>
    <w:qFormat/>
    <w:pPr>
      <w:numPr>
        <w:ilvl w:val="0"/>
        <w:numId w:val="1"/>
      </w:numPr>
      <w:spacing w:before="0" w:after="0"/>
      <w:ind w:start="0" w:end="0" w:hanging="0"/>
    </w:pPr>
    <w:rPr/>
  </w:style>
  <w:style w:type="paragraph" w:styleId="12">
    <w:name w:val="Конец нумерованного списка 1"/>
    <w:basedOn w:val="Style32"/>
    <w:next w:val="ListBullet4"/>
    <w:qFormat/>
    <w:pPr>
      <w:spacing w:before="0" w:after="0"/>
      <w:ind w:start="0" w:end="0" w:hanging="0"/>
    </w:pPr>
    <w:rPr/>
  </w:style>
  <w:style w:type="paragraph" w:styleId="13">
    <w:name w:val="Продолжение нумерованного списка 1"/>
    <w:basedOn w:val="Style32"/>
    <w:qFormat/>
    <w:pPr>
      <w:spacing w:before="0" w:after="0"/>
      <w:ind w:start="0" w:end="0" w:hanging="0"/>
    </w:pPr>
    <w:rPr/>
  </w:style>
  <w:style w:type="paragraph" w:styleId="21">
    <w:name w:val="Начало нумерованного списка 2"/>
    <w:basedOn w:val="Style32"/>
    <w:next w:val="ListNumber2"/>
    <w:qFormat/>
    <w:pPr>
      <w:spacing w:before="0" w:after="0"/>
      <w:ind w:start="0" w:end="0" w:hanging="0"/>
    </w:pPr>
    <w:rPr/>
  </w:style>
  <w:style w:type="paragraph" w:styleId="ListNumber2">
    <w:name w:val="List Number 2"/>
    <w:basedOn w:val="Style32"/>
    <w:qFormat/>
    <w:pPr>
      <w:spacing w:before="0" w:after="0"/>
      <w:ind w:start="0" w:end="0" w:hanging="0"/>
    </w:pPr>
    <w:rPr/>
  </w:style>
  <w:style w:type="paragraph" w:styleId="22">
    <w:name w:val="Конец нумерованного списка 2"/>
    <w:basedOn w:val="Style32"/>
    <w:next w:val="ListNumber2"/>
    <w:qFormat/>
    <w:pPr>
      <w:spacing w:before="0" w:after="0"/>
      <w:ind w:start="0" w:end="0" w:hanging="0"/>
    </w:pPr>
    <w:rPr/>
  </w:style>
  <w:style w:type="paragraph" w:styleId="23">
    <w:name w:val="Продолжение нумерованного списка 2"/>
    <w:basedOn w:val="Style32"/>
    <w:qFormat/>
    <w:pPr>
      <w:spacing w:before="0" w:after="0"/>
      <w:ind w:start="0" w:end="0" w:hanging="0"/>
    </w:pPr>
    <w:rPr/>
  </w:style>
  <w:style w:type="paragraph" w:styleId="31">
    <w:name w:val="Начало нумерованного списка 3"/>
    <w:basedOn w:val="Style32"/>
    <w:next w:val="ListNumber3"/>
    <w:qFormat/>
    <w:pPr>
      <w:spacing w:before="0" w:after="0"/>
      <w:ind w:start="0" w:end="0" w:hanging="0"/>
    </w:pPr>
    <w:rPr/>
  </w:style>
  <w:style w:type="paragraph" w:styleId="ListNumber3">
    <w:name w:val="List Number 3"/>
    <w:basedOn w:val="Style32"/>
    <w:qFormat/>
    <w:pPr>
      <w:spacing w:before="0" w:after="0"/>
      <w:ind w:start="0" w:end="0" w:hanging="0"/>
    </w:pPr>
    <w:rPr/>
  </w:style>
  <w:style w:type="paragraph" w:styleId="32">
    <w:name w:val="Конец нумерованного списка 3"/>
    <w:basedOn w:val="Style32"/>
    <w:next w:val="ListNumber3"/>
    <w:qFormat/>
    <w:pPr>
      <w:spacing w:before="0" w:after="0"/>
      <w:ind w:start="0" w:end="0" w:hanging="0"/>
    </w:pPr>
    <w:rPr/>
  </w:style>
  <w:style w:type="paragraph" w:styleId="33">
    <w:name w:val="Продолжение нумерованного списка 3"/>
    <w:basedOn w:val="Style32"/>
    <w:qFormat/>
    <w:pPr>
      <w:spacing w:before="0" w:after="0"/>
      <w:ind w:start="0" w:end="0" w:hanging="0"/>
    </w:pPr>
    <w:rPr/>
  </w:style>
  <w:style w:type="paragraph" w:styleId="41">
    <w:name w:val="Начало нумерованного списка 4"/>
    <w:basedOn w:val="Style32"/>
    <w:next w:val="ListNumber4"/>
    <w:qFormat/>
    <w:pPr>
      <w:spacing w:before="0" w:after="0"/>
      <w:ind w:start="0" w:end="0" w:hanging="0"/>
    </w:pPr>
    <w:rPr/>
  </w:style>
  <w:style w:type="paragraph" w:styleId="ListNumber4">
    <w:name w:val="List Number 4"/>
    <w:basedOn w:val="Style32"/>
    <w:qFormat/>
    <w:pPr>
      <w:spacing w:before="0" w:after="0"/>
      <w:ind w:start="0" w:end="0" w:hanging="0"/>
    </w:pPr>
    <w:rPr/>
  </w:style>
  <w:style w:type="paragraph" w:styleId="42">
    <w:name w:val="Конец нумерованного списка 4"/>
    <w:basedOn w:val="Style32"/>
    <w:next w:val="ListNumber4"/>
    <w:qFormat/>
    <w:pPr>
      <w:spacing w:before="0" w:after="0"/>
      <w:ind w:start="0" w:end="0" w:hanging="0"/>
    </w:pPr>
    <w:rPr/>
  </w:style>
  <w:style w:type="paragraph" w:styleId="43">
    <w:name w:val="Продолжение нумерованного списка 4"/>
    <w:basedOn w:val="Style32"/>
    <w:qFormat/>
    <w:pPr>
      <w:spacing w:before="0" w:after="0"/>
      <w:ind w:start="0" w:end="0" w:hanging="0"/>
    </w:pPr>
    <w:rPr/>
  </w:style>
  <w:style w:type="paragraph" w:styleId="51">
    <w:name w:val="Начало нумерованного списка 5"/>
    <w:basedOn w:val="Style32"/>
    <w:next w:val="ListNumber5"/>
    <w:qFormat/>
    <w:pPr>
      <w:spacing w:before="0" w:after="0"/>
      <w:ind w:start="0" w:end="0" w:hanging="0"/>
    </w:pPr>
    <w:rPr/>
  </w:style>
  <w:style w:type="paragraph" w:styleId="ListNumber5">
    <w:name w:val="List Number 5"/>
    <w:basedOn w:val="Style32"/>
    <w:qFormat/>
    <w:pPr>
      <w:spacing w:before="0" w:after="0"/>
      <w:ind w:start="0" w:end="0" w:hanging="0"/>
    </w:pPr>
    <w:rPr/>
  </w:style>
  <w:style w:type="paragraph" w:styleId="52">
    <w:name w:val="Конец нумерованного списка 5"/>
    <w:basedOn w:val="Style32"/>
    <w:next w:val="ListNumber5"/>
    <w:qFormat/>
    <w:pPr>
      <w:spacing w:before="0" w:after="0"/>
      <w:ind w:start="0" w:end="0" w:hanging="0"/>
    </w:pPr>
    <w:rPr/>
  </w:style>
  <w:style w:type="paragraph" w:styleId="53">
    <w:name w:val="Продолжение нумерованного списка 5"/>
    <w:basedOn w:val="Style32"/>
    <w:qFormat/>
    <w:pPr>
      <w:spacing w:before="0" w:after="0"/>
      <w:ind w:start="0" w:end="0" w:hanging="0"/>
    </w:pPr>
    <w:rPr/>
  </w:style>
  <w:style w:type="paragraph" w:styleId="14">
    <w:name w:val="Список 1 начало"/>
    <w:basedOn w:val="Style32"/>
    <w:next w:val="ListBullet3"/>
    <w:qFormat/>
    <w:pPr>
      <w:spacing w:before="0" w:after="0"/>
      <w:ind w:start="0" w:end="0" w:hanging="0"/>
    </w:pPr>
    <w:rPr/>
  </w:style>
  <w:style w:type="paragraph" w:styleId="ListBullet3">
    <w:name w:val="List Bullet 3"/>
    <w:basedOn w:val="Style32"/>
    <w:qFormat/>
    <w:pPr>
      <w:numPr>
        <w:ilvl w:val="0"/>
        <w:numId w:val="2"/>
      </w:numPr>
      <w:spacing w:before="0" w:after="0"/>
      <w:ind w:start="0" w:end="0" w:hanging="0"/>
    </w:pPr>
    <w:rPr/>
  </w:style>
  <w:style w:type="paragraph" w:styleId="15">
    <w:name w:val="Список 1 конец"/>
    <w:basedOn w:val="Style32"/>
    <w:next w:val="ListBullet3"/>
    <w:qFormat/>
    <w:pPr>
      <w:spacing w:before="0" w:after="0"/>
      <w:ind w:start="0" w:end="0" w:hanging="0"/>
    </w:pPr>
    <w:rPr/>
  </w:style>
  <w:style w:type="paragraph" w:styleId="ListContinue">
    <w:name w:val="List Continue"/>
    <w:basedOn w:val="Style32"/>
    <w:qFormat/>
    <w:pPr>
      <w:spacing w:before="0" w:after="0"/>
      <w:ind w:start="0" w:end="0" w:hanging="0"/>
    </w:pPr>
    <w:rPr/>
  </w:style>
  <w:style w:type="paragraph" w:styleId="24">
    <w:name w:val="Список 2 начало"/>
    <w:basedOn w:val="Style32"/>
    <w:next w:val="ListBullet3"/>
    <w:qFormat/>
    <w:pPr>
      <w:spacing w:before="0" w:after="0"/>
      <w:ind w:start="0" w:end="0" w:hanging="0"/>
    </w:pPr>
    <w:rPr/>
  </w:style>
  <w:style w:type="paragraph" w:styleId="25">
    <w:name w:val="Список 2 конец"/>
    <w:basedOn w:val="Style32"/>
    <w:next w:val="ListBullet3"/>
    <w:qFormat/>
    <w:pPr>
      <w:spacing w:before="0" w:after="0"/>
      <w:ind w:start="0" w:end="0" w:hanging="0"/>
    </w:pPr>
    <w:rPr/>
  </w:style>
  <w:style w:type="paragraph" w:styleId="ListContinue2">
    <w:name w:val="List Continue 2"/>
    <w:basedOn w:val="Style32"/>
    <w:qFormat/>
    <w:pPr>
      <w:spacing w:before="0" w:after="0"/>
      <w:ind w:start="0" w:end="0" w:hanging="0"/>
    </w:pPr>
    <w:rPr/>
  </w:style>
  <w:style w:type="paragraph" w:styleId="34">
    <w:name w:val="Список 3 начало"/>
    <w:basedOn w:val="Style32"/>
    <w:next w:val="ListBullet4"/>
    <w:qFormat/>
    <w:pPr>
      <w:spacing w:before="0" w:after="0"/>
      <w:ind w:start="0" w:end="0" w:hanging="0"/>
    </w:pPr>
    <w:rPr/>
  </w:style>
  <w:style w:type="paragraph" w:styleId="35">
    <w:name w:val="Список 3 конец"/>
    <w:basedOn w:val="Style32"/>
    <w:next w:val="ListBullet4"/>
    <w:qFormat/>
    <w:pPr>
      <w:spacing w:before="0" w:after="0"/>
      <w:ind w:start="0" w:end="0" w:hanging="0"/>
    </w:pPr>
    <w:rPr/>
  </w:style>
  <w:style w:type="paragraph" w:styleId="ListContinue3">
    <w:name w:val="List Continue 3"/>
    <w:basedOn w:val="Style32"/>
    <w:qFormat/>
    <w:pPr>
      <w:spacing w:before="0" w:after="0"/>
      <w:ind w:start="0" w:end="0" w:hanging="0"/>
    </w:pPr>
    <w:rPr/>
  </w:style>
  <w:style w:type="paragraph" w:styleId="44">
    <w:name w:val="Список 4 начало"/>
    <w:basedOn w:val="Style32"/>
    <w:next w:val="ListBullet5"/>
    <w:qFormat/>
    <w:pPr>
      <w:spacing w:before="0" w:after="0"/>
      <w:ind w:start="0" w:end="0" w:hanging="0"/>
    </w:pPr>
    <w:rPr/>
  </w:style>
  <w:style w:type="paragraph" w:styleId="ListBullet5">
    <w:name w:val="List Bullet 5"/>
    <w:basedOn w:val="Style32"/>
    <w:qFormat/>
    <w:pPr>
      <w:spacing w:before="0" w:after="0"/>
      <w:ind w:start="0" w:end="0" w:hanging="0"/>
    </w:pPr>
    <w:rPr/>
  </w:style>
  <w:style w:type="paragraph" w:styleId="45">
    <w:name w:val="Список 4 конец"/>
    <w:basedOn w:val="Style32"/>
    <w:next w:val="ListBullet5"/>
    <w:qFormat/>
    <w:pPr>
      <w:spacing w:before="0" w:after="0"/>
      <w:ind w:start="0" w:end="0" w:hanging="0"/>
    </w:pPr>
    <w:rPr/>
  </w:style>
  <w:style w:type="paragraph" w:styleId="ListContinue4">
    <w:name w:val="List Continue 4"/>
    <w:basedOn w:val="Style32"/>
    <w:qFormat/>
    <w:pPr>
      <w:spacing w:before="0" w:after="0"/>
      <w:ind w:start="0" w:end="0" w:hanging="0"/>
    </w:pPr>
    <w:rPr/>
  </w:style>
  <w:style w:type="paragraph" w:styleId="54">
    <w:name w:val="Список 5 начало"/>
    <w:basedOn w:val="Style32"/>
    <w:next w:val="ListNumber"/>
    <w:qFormat/>
    <w:pPr>
      <w:spacing w:before="0" w:after="0"/>
      <w:ind w:start="0" w:end="0" w:hanging="0"/>
    </w:pPr>
    <w:rPr/>
  </w:style>
  <w:style w:type="paragraph" w:styleId="ListNumber">
    <w:name w:val="List Number"/>
    <w:basedOn w:val="Style32"/>
    <w:qFormat/>
    <w:pPr>
      <w:spacing w:before="0" w:after="0"/>
      <w:ind w:start="0" w:end="0" w:hanging="0"/>
    </w:pPr>
    <w:rPr/>
  </w:style>
  <w:style w:type="paragraph" w:styleId="55">
    <w:name w:val="Список 5 конец"/>
    <w:basedOn w:val="Style32"/>
    <w:next w:val="ListNumber"/>
    <w:qFormat/>
    <w:pPr>
      <w:spacing w:before="0" w:after="0"/>
      <w:ind w:start="0" w:end="0" w:hanging="0"/>
    </w:pPr>
    <w:rPr/>
  </w:style>
  <w:style w:type="paragraph" w:styleId="ListContinue5">
    <w:name w:val="List Continue 5"/>
    <w:basedOn w:val="Style32"/>
    <w:qFormat/>
    <w:pPr>
      <w:spacing w:before="0" w:after="0"/>
      <w:ind w:start="0" w:end="0" w:hanging="0"/>
    </w:pPr>
    <w:rPr/>
  </w:style>
  <w:style w:type="paragraph" w:styleId="Style43">
    <w:name w:val="Index Heading"/>
    <w:basedOn w:val="Style30"/>
    <w:pPr>
      <w:ind w:start="0" w:end="0" w:hanging="0"/>
    </w:pPr>
    <w:rPr/>
  </w:style>
  <w:style w:type="paragraph" w:styleId="16">
    <w:name w:val="Index 1"/>
    <w:basedOn w:val="Style34"/>
    <w:pPr>
      <w:ind w:start="0" w:end="0" w:hanging="0"/>
    </w:pPr>
    <w:rPr/>
  </w:style>
  <w:style w:type="paragraph" w:styleId="26">
    <w:name w:val="Index 2"/>
    <w:basedOn w:val="Style34"/>
    <w:pPr>
      <w:ind w:start="0" w:end="0" w:hanging="0"/>
    </w:pPr>
    <w:rPr/>
  </w:style>
  <w:style w:type="paragraph" w:styleId="36">
    <w:name w:val="Index 3"/>
    <w:basedOn w:val="Style34"/>
    <w:pPr>
      <w:ind w:start="0" w:end="0" w:hanging="0"/>
    </w:pPr>
    <w:rPr/>
  </w:style>
  <w:style w:type="paragraph" w:styleId="Style44">
    <w:name w:val="Разделитель предметного указателя"/>
    <w:basedOn w:val="Style34"/>
    <w:qFormat/>
    <w:pPr>
      <w:ind w:start="0" w:end="0" w:hanging="0"/>
    </w:pPr>
    <w:rPr/>
  </w:style>
  <w:style w:type="paragraph" w:styleId="Style45">
    <w:name w:val="TOC Heading"/>
    <w:basedOn w:val="Style30"/>
    <w:next w:val="17"/>
    <w:qFormat/>
    <w:pPr>
      <w:ind w:start="0" w:end="0" w:hanging="0"/>
    </w:pPr>
    <w:rPr/>
  </w:style>
  <w:style w:type="paragraph" w:styleId="17">
    <w:name w:val="TOC 1"/>
    <w:basedOn w:val="Style34"/>
    <w:pPr>
      <w:tabs>
        <w:tab w:val="clear" w:pos="709"/>
        <w:tab w:val="right" w:pos="9638" w:leader="dot"/>
      </w:tabs>
      <w:ind w:start="0" w:end="0" w:hanging="0"/>
    </w:pPr>
    <w:rPr/>
  </w:style>
  <w:style w:type="paragraph" w:styleId="27">
    <w:name w:val="TOC 2"/>
    <w:basedOn w:val="Style34"/>
    <w:pPr>
      <w:tabs>
        <w:tab w:val="clear" w:pos="709"/>
        <w:tab w:val="right" w:pos="9355" w:leader="dot"/>
      </w:tabs>
      <w:ind w:start="0" w:end="0" w:hanging="0"/>
    </w:pPr>
    <w:rPr/>
  </w:style>
  <w:style w:type="paragraph" w:styleId="37">
    <w:name w:val="TOC 3"/>
    <w:basedOn w:val="Style34"/>
    <w:pPr>
      <w:tabs>
        <w:tab w:val="clear" w:pos="709"/>
        <w:tab w:val="right" w:pos="9072" w:leader="dot"/>
      </w:tabs>
      <w:ind w:start="0" w:end="0" w:hanging="0"/>
    </w:pPr>
    <w:rPr/>
  </w:style>
  <w:style w:type="paragraph" w:styleId="46">
    <w:name w:val="TOC 4"/>
    <w:basedOn w:val="Style34"/>
    <w:pPr>
      <w:tabs>
        <w:tab w:val="clear" w:pos="709"/>
        <w:tab w:val="right" w:pos="8789" w:leader="dot"/>
      </w:tabs>
      <w:ind w:start="0" w:end="0" w:hanging="0"/>
    </w:pPr>
    <w:rPr/>
  </w:style>
  <w:style w:type="paragraph" w:styleId="56">
    <w:name w:val="TOC 5"/>
    <w:basedOn w:val="Style34"/>
    <w:pPr>
      <w:tabs>
        <w:tab w:val="clear" w:pos="709"/>
        <w:tab w:val="right" w:pos="8506" w:leader="dot"/>
      </w:tabs>
      <w:ind w:start="0" w:end="0" w:hanging="0"/>
    </w:pPr>
    <w:rPr/>
  </w:style>
  <w:style w:type="paragraph" w:styleId="Style46">
    <w:name w:val="Заголовок указателей пользователя"/>
    <w:basedOn w:val="Style30"/>
    <w:qFormat/>
    <w:pPr/>
    <w:rPr/>
  </w:style>
  <w:style w:type="paragraph" w:styleId="18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28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start="0" w:end="0" w:hanging="0"/>
    </w:pPr>
    <w:rPr/>
  </w:style>
  <w:style w:type="paragraph" w:styleId="38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start="0" w:end="0" w:hanging="0"/>
    </w:pPr>
    <w:rPr/>
  </w:style>
  <w:style w:type="paragraph" w:styleId="47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start="0" w:end="0" w:hanging="0"/>
    </w:pPr>
    <w:rPr/>
  </w:style>
  <w:style w:type="paragraph" w:styleId="57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start="0" w:end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start="0" w:end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start="0" w:end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start="0" w:end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start="0" w:end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start="0" w:end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Style47">
    <w:name w:val="Заголовок списка объектов"/>
    <w:basedOn w:val="Style30"/>
    <w:qFormat/>
    <w:pPr>
      <w:ind w:start="0" w:end="0" w:hanging="0"/>
    </w:pPr>
    <w:rPr/>
  </w:style>
  <w:style w:type="paragraph" w:styleId="19">
    <w:name w:val="Список объектов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Style48">
    <w:name w:val="Заголовок списка таблиц"/>
    <w:basedOn w:val="Style30"/>
    <w:qFormat/>
    <w:pPr>
      <w:ind w:start="0" w:end="0" w:hanging="0"/>
    </w:pPr>
    <w:rPr/>
  </w:style>
  <w:style w:type="paragraph" w:styleId="110">
    <w:name w:val="Список таблиц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TableofAuthorities">
    <w:name w:val="Table of Authorities"/>
    <w:basedOn w:val="Style30"/>
    <w:qFormat/>
    <w:pPr>
      <w:ind w:start="0" w:end="0" w:hanging="0"/>
    </w:pPr>
    <w:rPr/>
  </w:style>
  <w:style w:type="paragraph" w:styleId="111">
    <w:name w:val="Библиография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start="0" w:end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start="0" w:end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start="0" w:end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start="0" w:end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start="0" w:end="0" w:hanging="0"/>
    </w:pPr>
    <w:rPr/>
  </w:style>
  <w:style w:type="paragraph" w:styleId="Style4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Верхний и нижний колонтитулы"/>
    <w:basedOn w:val="Normal"/>
    <w:qFormat/>
    <w:pPr/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3"/>
    <w:qFormat/>
    <w:pPr/>
    <w:rPr/>
  </w:style>
  <w:style w:type="paragraph" w:styleId="Style60">
    <w:name w:val="Таблица"/>
    <w:basedOn w:val="Style33"/>
    <w:qFormat/>
    <w:pPr/>
    <w:rPr/>
  </w:style>
  <w:style w:type="paragraph" w:styleId="Style61">
    <w:name w:val="Текст"/>
    <w:basedOn w:val="Style33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start="0" w:end="0" w:hanging="0"/>
      <w:jc w:val="star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start="0" w:end="0" w:hanging="0"/>
    </w:pPr>
    <w:rPr>
      <w:sz w:val="28"/>
      <w:szCs w:val="24"/>
    </w:rPr>
  </w:style>
  <w:style w:type="paragraph" w:styleId="TableofFigures">
    <w:name w:val="Table of Figures"/>
    <w:basedOn w:val="Style33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start="0" w:end="0" w:hanging="0"/>
    </w:pPr>
    <w:rPr/>
  </w:style>
  <w:style w:type="paragraph" w:styleId="Style70">
    <w:name w:val="Заголовок списка"/>
    <w:basedOn w:val="Normal"/>
    <w:next w:val="Style69"/>
    <w:qFormat/>
    <w:pPr>
      <w:ind w:start="0" w:end="0" w:hanging="0"/>
    </w:pPr>
    <w:rPr/>
  </w:style>
  <w:style w:type="paragraph" w:styleId="Style71">
    <w:name w:val="Гриф_Экземпляр"/>
    <w:basedOn w:val="Normal"/>
    <w:qFormat/>
    <w:pPr>
      <w:ind w:start="0" w:end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start"/>
    </w:pPr>
    <w:rPr>
      <w:sz w:val="24"/>
    </w:rPr>
  </w:style>
  <w:style w:type="paragraph" w:styleId="Style73">
    <w:name w:val="Заголовок списка иллюстраций"/>
    <w:basedOn w:val="Style30"/>
    <w:qFormat/>
    <w:pPr>
      <w:suppressLineNumbers/>
      <w:ind w:start="0" w:end="0" w:hanging="0"/>
      <w:jc w:val="center"/>
    </w:pPr>
    <w:rPr/>
  </w:style>
  <w:style w:type="paragraph" w:styleId="Style74">
    <w:name w:val="Текст документа"/>
    <w:basedOn w:val="Normal"/>
    <w:qFormat/>
    <w:pPr>
      <w:ind w:firstLine="709"/>
      <w:jc w:val="both"/>
    </w:pPr>
    <w:rPr>
      <w:lang w:val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5">
    <w:name w:val="Маркированный •"/>
    <w:qFormat/>
  </w:style>
  <w:style w:type="numbering" w:styleId="Style76">
    <w:name w:val="Маркированный –"/>
    <w:qFormat/>
  </w:style>
  <w:style w:type="numbering" w:styleId="Style77">
    <w:name w:val="Маркированный "/>
    <w:qFormat/>
  </w:style>
  <w:style w:type="numbering" w:styleId="Style78">
    <w:name w:val="Маркированный "/>
    <w:qFormat/>
  </w:style>
  <w:style w:type="numbering" w:styleId="Style79">
    <w:name w:val="Маркированный "/>
    <w:qFormat/>
  </w:style>
  <w:style w:type="numbering" w:styleId="112">
    <w:name w:val="Нумерованный 1)"/>
    <w:qFormat/>
  </w:style>
  <w:style w:type="numbering" w:styleId="Style80">
    <w:name w:val="Нумерованный а)"/>
    <w:qFormat/>
  </w:style>
  <w:style w:type="numbering" w:styleId="Style81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bghk@rosatom.ru" TargetMode="External"/><Relationship Id="rId3" Type="http://schemas.openxmlformats.org/officeDocument/2006/relationships/hyperlink" Target="mailto:kancel@adm.k26.ru" TargetMode="External"/><Relationship Id="rId4" Type="http://schemas.openxmlformats.org/officeDocument/2006/relationships/hyperlink" Target="http://www.sibghk.ru/public-hearing/" TargetMode="External"/><Relationship Id="rId5" Type="http://schemas.openxmlformats.org/officeDocument/2006/relationships/hyperlink" Target="http://www.admk26.ru/administratsiya/informatsiya/2022/" TargetMode="External"/><Relationship Id="rId6" Type="http://schemas.openxmlformats.org/officeDocument/2006/relationships/hyperlink" Target="http://www.sibghk.ru/public-hearing/" TargetMode="External"/><Relationship Id="rId7" Type="http://schemas.openxmlformats.org/officeDocument/2006/relationships/hyperlink" Target="http://www.admk26.ru/administratsiya/informatsiya/2022/" TargetMode="External"/><Relationship Id="rId8" Type="http://schemas.openxmlformats.org/officeDocument/2006/relationships/hyperlink" Target="mailto:shahina@adm.k26.ru" TargetMode="External"/><Relationship Id="rId9" Type="http://schemas.openxmlformats.org/officeDocument/2006/relationships/hyperlink" Target="http://www.admk26.ru/administratsiya/informatsiya/2022/" TargetMode="External"/><Relationship Id="rId10" Type="http://schemas.openxmlformats.org/officeDocument/2006/relationships/hyperlink" Target="mailto:YOYanushkevich@rosatom.ru" TargetMode="External"/><Relationship Id="rId11" Type="http://schemas.openxmlformats.org/officeDocument/2006/relationships/hyperlink" Target="mailto:shahina@adm.k26.ru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LibreOffice/7.5.2.1$Linux_X86_64 LibreOffice_project/50$Build-1</Application>
  <AppVersion>15.0000</AppVersion>
  <Pages>3</Pages>
  <Words>746</Words>
  <Characters>5133</Characters>
  <CharactersWithSpaces>5947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2024-06-26T09:30:41Z</dcterms:created>
  <dc:creator/>
  <dc:description/>
  <dc:language>ru-RU</dc:language>
  <cp:lastModifiedBy/>
  <cp:lastPrinted>2024-07-02T18:57:27Z</cp:lastPrinted>
  <dcterms:modified xsi:type="dcterms:W3CDTF">2024-07-11T16:43:41Z</dcterms:modified>
  <cp:revision>14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